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4CA" w:rsidRPr="00797E49" w:rsidRDefault="00B55835">
      <w:pPr>
        <w:rPr>
          <w:b/>
          <w:color w:val="006600"/>
          <w:sz w:val="36"/>
          <w:szCs w:val="36"/>
          <w:lang w:val="fr-FR"/>
        </w:rPr>
      </w:pPr>
      <w:bookmarkStart w:id="0" w:name="_GoBack"/>
      <w:bookmarkEnd w:id="0"/>
      <w:r w:rsidRPr="00797E49">
        <w:rPr>
          <w:b/>
          <w:color w:val="006600"/>
          <w:sz w:val="36"/>
          <w:szCs w:val="36"/>
          <w:lang w:val="fr-FR"/>
        </w:rPr>
        <w:t xml:space="preserve">Règlement </w:t>
      </w:r>
      <w:r w:rsidR="00266A5D" w:rsidRPr="00797E49">
        <w:rPr>
          <w:b/>
          <w:color w:val="006600"/>
          <w:sz w:val="36"/>
          <w:szCs w:val="36"/>
          <w:lang w:val="fr-FR"/>
        </w:rPr>
        <w:t xml:space="preserve">Bois </w:t>
      </w:r>
      <w:r w:rsidRPr="00797E49">
        <w:rPr>
          <w:b/>
          <w:color w:val="006600"/>
          <w:sz w:val="36"/>
          <w:szCs w:val="36"/>
          <w:lang w:val="fr-FR"/>
        </w:rPr>
        <w:t>de l’UE</w:t>
      </w:r>
      <w:r w:rsidR="00266A5D" w:rsidRPr="00797E49">
        <w:rPr>
          <w:b/>
          <w:color w:val="006600"/>
          <w:sz w:val="36"/>
          <w:szCs w:val="36"/>
          <w:lang w:val="fr-FR"/>
        </w:rPr>
        <w:t xml:space="preserve"> </w:t>
      </w:r>
      <w:r w:rsidRPr="00797E49">
        <w:rPr>
          <w:b/>
          <w:color w:val="006600"/>
          <w:sz w:val="36"/>
          <w:szCs w:val="36"/>
          <w:lang w:val="fr-FR"/>
        </w:rPr>
        <w:t>– Formation des formateurs</w:t>
      </w:r>
    </w:p>
    <w:p w:rsidR="00DC5EFE" w:rsidRPr="00797E49" w:rsidRDefault="00DC5EFE">
      <w:pPr>
        <w:rPr>
          <w:b/>
          <w:color w:val="006600"/>
          <w:sz w:val="28"/>
          <w:szCs w:val="28"/>
          <w:lang w:val="fr-FR"/>
        </w:rPr>
      </w:pPr>
      <w:r w:rsidRPr="00797E49">
        <w:rPr>
          <w:b/>
          <w:color w:val="006600"/>
          <w:sz w:val="28"/>
          <w:szCs w:val="28"/>
          <w:lang w:val="fr-FR"/>
        </w:rPr>
        <w:t>Activit</w:t>
      </w:r>
      <w:r w:rsidR="00B55835" w:rsidRPr="00797E49">
        <w:rPr>
          <w:b/>
          <w:color w:val="006600"/>
          <w:sz w:val="28"/>
          <w:szCs w:val="28"/>
          <w:lang w:val="fr-FR"/>
        </w:rPr>
        <w:t>é</w:t>
      </w:r>
      <w:r w:rsidRPr="00797E49">
        <w:rPr>
          <w:b/>
          <w:color w:val="006600"/>
          <w:sz w:val="28"/>
          <w:szCs w:val="28"/>
          <w:lang w:val="fr-FR"/>
        </w:rPr>
        <w:t xml:space="preserve"> </w:t>
      </w:r>
      <w:r w:rsidR="00496F75" w:rsidRPr="00797E49">
        <w:rPr>
          <w:b/>
          <w:color w:val="006600"/>
          <w:sz w:val="28"/>
          <w:szCs w:val="28"/>
          <w:lang w:val="fr-FR"/>
        </w:rPr>
        <w:t>2</w:t>
      </w:r>
      <w:r w:rsidR="00266A5D" w:rsidRPr="00797E49">
        <w:rPr>
          <w:b/>
          <w:color w:val="006600"/>
          <w:sz w:val="28"/>
          <w:szCs w:val="28"/>
          <w:lang w:val="fr-FR"/>
        </w:rPr>
        <w:t xml:space="preserve"> –</w:t>
      </w:r>
      <w:r w:rsidR="00B55835" w:rsidRPr="00797E49">
        <w:rPr>
          <w:b/>
          <w:color w:val="006600"/>
          <w:sz w:val="28"/>
          <w:szCs w:val="28"/>
          <w:lang w:val="fr-FR"/>
        </w:rPr>
        <w:t xml:space="preserve"> Règlement </w:t>
      </w:r>
      <w:r w:rsidR="00266A5D" w:rsidRPr="00797E49">
        <w:rPr>
          <w:b/>
          <w:color w:val="006600"/>
          <w:sz w:val="28"/>
          <w:szCs w:val="28"/>
          <w:lang w:val="fr-FR"/>
        </w:rPr>
        <w:t xml:space="preserve">Bois </w:t>
      </w:r>
      <w:r w:rsidR="00B55835" w:rsidRPr="00797E49">
        <w:rPr>
          <w:b/>
          <w:color w:val="006600"/>
          <w:sz w:val="28"/>
          <w:szCs w:val="28"/>
          <w:lang w:val="fr-FR"/>
        </w:rPr>
        <w:t>de l’UE – Vrai ou faux : réponses</w:t>
      </w:r>
      <w:r w:rsidR="00496F75" w:rsidRPr="00797E49">
        <w:rPr>
          <w:b/>
          <w:color w:val="006600"/>
          <w:sz w:val="28"/>
          <w:szCs w:val="28"/>
          <w:lang w:val="fr-FR"/>
        </w:rPr>
        <w:t xml:space="preserve"> </w:t>
      </w:r>
    </w:p>
    <w:p w:rsidR="00496F75" w:rsidRPr="00797E49" w:rsidRDefault="00CC171F" w:rsidP="00496F75">
      <w:pPr>
        <w:rPr>
          <w:b/>
          <w:sz w:val="24"/>
          <w:szCs w:val="24"/>
          <w:lang w:val="fr-FR"/>
        </w:rPr>
      </w:pPr>
      <w:r w:rsidRPr="00797E49">
        <w:rPr>
          <w:lang w:val="fr-FR"/>
        </w:rPr>
        <w:t>Cet exercice a pour objet de vérifier les connaissances des participants en ce qui concerne le Règlement Bois de l’UE. Veuillez répondre par vrai ou faux (V/F) aux questions suivantes et, le cas échéant, donner les bonnes réponses dans la colonne « Note »</w:t>
      </w:r>
      <w:r w:rsidR="00496F75" w:rsidRPr="00797E49">
        <w:rPr>
          <w:lang w:val="fr-FR"/>
        </w:rPr>
        <w:t>.</w:t>
      </w:r>
    </w:p>
    <w:tbl>
      <w:tblPr>
        <w:tblStyle w:val="Grilledutableau"/>
        <w:tblW w:w="9209" w:type="dxa"/>
        <w:tblLook w:val="04A0" w:firstRow="1" w:lastRow="0" w:firstColumn="1" w:lastColumn="0" w:noHBand="0" w:noVBand="1"/>
      </w:tblPr>
      <w:tblGrid>
        <w:gridCol w:w="440"/>
        <w:gridCol w:w="2524"/>
        <w:gridCol w:w="1076"/>
        <w:gridCol w:w="5169"/>
      </w:tblGrid>
      <w:tr w:rsidR="00EA0E69" w:rsidRPr="00797E49" w:rsidTr="00F93AE1">
        <w:trPr>
          <w:tblHeader/>
        </w:trPr>
        <w:tc>
          <w:tcPr>
            <w:tcW w:w="440" w:type="dxa"/>
          </w:tcPr>
          <w:p w:rsidR="00A10617" w:rsidRPr="00797E49" w:rsidRDefault="00A10617" w:rsidP="00506A90">
            <w:pPr>
              <w:rPr>
                <w:b/>
                <w:sz w:val="24"/>
                <w:szCs w:val="24"/>
                <w:lang w:val="fr-FR"/>
              </w:rPr>
            </w:pPr>
          </w:p>
        </w:tc>
        <w:tc>
          <w:tcPr>
            <w:tcW w:w="2546" w:type="dxa"/>
          </w:tcPr>
          <w:p w:rsidR="00A10617" w:rsidRPr="00797E49" w:rsidRDefault="00A10617" w:rsidP="00506A90">
            <w:pPr>
              <w:rPr>
                <w:b/>
                <w:sz w:val="24"/>
                <w:szCs w:val="24"/>
                <w:lang w:val="fr-FR"/>
              </w:rPr>
            </w:pPr>
            <w:r w:rsidRPr="00797E49">
              <w:rPr>
                <w:b/>
                <w:sz w:val="24"/>
                <w:szCs w:val="24"/>
                <w:lang w:val="fr-FR"/>
              </w:rPr>
              <w:t>Question</w:t>
            </w:r>
          </w:p>
        </w:tc>
        <w:tc>
          <w:tcPr>
            <w:tcW w:w="992" w:type="dxa"/>
          </w:tcPr>
          <w:p w:rsidR="00A10617" w:rsidRPr="00797E49" w:rsidRDefault="00B55835" w:rsidP="00506A90">
            <w:pPr>
              <w:rPr>
                <w:b/>
                <w:sz w:val="24"/>
                <w:szCs w:val="24"/>
                <w:lang w:val="fr-FR"/>
              </w:rPr>
            </w:pPr>
            <w:r w:rsidRPr="00797E49">
              <w:rPr>
                <w:b/>
                <w:sz w:val="24"/>
                <w:szCs w:val="24"/>
                <w:lang w:val="fr-FR"/>
              </w:rPr>
              <w:t>Réponse</w:t>
            </w:r>
          </w:p>
        </w:tc>
        <w:tc>
          <w:tcPr>
            <w:tcW w:w="5231" w:type="dxa"/>
          </w:tcPr>
          <w:p w:rsidR="00A10617" w:rsidRPr="00797E49" w:rsidRDefault="00A10617" w:rsidP="00506A90">
            <w:pPr>
              <w:rPr>
                <w:b/>
                <w:sz w:val="24"/>
                <w:szCs w:val="24"/>
                <w:lang w:val="fr-FR"/>
              </w:rPr>
            </w:pPr>
            <w:r w:rsidRPr="00797E49">
              <w:rPr>
                <w:b/>
                <w:sz w:val="24"/>
                <w:szCs w:val="24"/>
                <w:lang w:val="fr-FR"/>
              </w:rPr>
              <w:t>Note</w:t>
            </w:r>
          </w:p>
        </w:tc>
      </w:tr>
      <w:tr w:rsidR="00EA0E69" w:rsidRPr="000D41AB" w:rsidTr="00F93AE1">
        <w:tc>
          <w:tcPr>
            <w:tcW w:w="440" w:type="dxa"/>
          </w:tcPr>
          <w:p w:rsidR="00A10617" w:rsidRPr="00797E49" w:rsidRDefault="00A10617" w:rsidP="00506A90">
            <w:pPr>
              <w:rPr>
                <w:lang w:val="fr-FR"/>
              </w:rPr>
            </w:pPr>
            <w:r w:rsidRPr="00797E49">
              <w:rPr>
                <w:lang w:val="fr-FR"/>
              </w:rPr>
              <w:t>1</w:t>
            </w:r>
          </w:p>
        </w:tc>
        <w:tc>
          <w:tcPr>
            <w:tcW w:w="2546" w:type="dxa"/>
          </w:tcPr>
          <w:p w:rsidR="00A10617" w:rsidRPr="00797E49" w:rsidRDefault="00CC171F" w:rsidP="00506A90">
            <w:pPr>
              <w:rPr>
                <w:lang w:val="fr-FR"/>
              </w:rPr>
            </w:pPr>
            <w:r w:rsidRPr="00797E49">
              <w:rPr>
                <w:lang w:val="fr-FR"/>
              </w:rPr>
              <w:t>Le Règlement Bois de l’UE ne s’applique qu’aux importateurs de bois</w:t>
            </w:r>
            <w:r w:rsidR="00B55835" w:rsidRPr="00797E49">
              <w:rPr>
                <w:lang w:val="fr-FR"/>
              </w:rPr>
              <w:t xml:space="preserve">. </w:t>
            </w:r>
          </w:p>
        </w:tc>
        <w:tc>
          <w:tcPr>
            <w:tcW w:w="992" w:type="dxa"/>
          </w:tcPr>
          <w:p w:rsidR="00A10617" w:rsidRPr="00797E49" w:rsidRDefault="00B55835" w:rsidP="00506A90">
            <w:pPr>
              <w:rPr>
                <w:lang w:val="fr-FR"/>
              </w:rPr>
            </w:pPr>
            <w:r w:rsidRPr="00797E49">
              <w:rPr>
                <w:lang w:val="fr-FR"/>
              </w:rPr>
              <w:t>Faux</w:t>
            </w:r>
          </w:p>
        </w:tc>
        <w:tc>
          <w:tcPr>
            <w:tcW w:w="5231" w:type="dxa"/>
          </w:tcPr>
          <w:p w:rsidR="00A10617" w:rsidRPr="00797E49" w:rsidRDefault="002E2DB9" w:rsidP="00922156">
            <w:pPr>
              <w:rPr>
                <w:lang w:val="fr-FR"/>
              </w:rPr>
            </w:pPr>
            <w:r w:rsidRPr="00797E49">
              <w:rPr>
                <w:lang w:val="fr-FR"/>
              </w:rPr>
              <w:t xml:space="preserve">Le </w:t>
            </w:r>
            <w:r w:rsidR="00922156" w:rsidRPr="00797E49">
              <w:rPr>
                <w:lang w:val="fr-FR"/>
              </w:rPr>
              <w:t>RB UE</w:t>
            </w:r>
            <w:r w:rsidR="00A10617" w:rsidRPr="00797E49">
              <w:rPr>
                <w:lang w:val="fr-FR"/>
              </w:rPr>
              <w:t xml:space="preserve"> </w:t>
            </w:r>
            <w:r w:rsidRPr="00797E49">
              <w:rPr>
                <w:lang w:val="fr-FR"/>
              </w:rPr>
              <w:t>s’applique aux opérateurs et aux commerçants.</w:t>
            </w:r>
            <w:r w:rsidR="00A10617" w:rsidRPr="00797E49">
              <w:rPr>
                <w:lang w:val="fr-FR"/>
              </w:rPr>
              <w:t xml:space="preserve"> </w:t>
            </w:r>
            <w:r w:rsidRPr="00797E49">
              <w:rPr>
                <w:lang w:val="fr-FR"/>
              </w:rPr>
              <w:t>Les opérateurs sont des personnes</w:t>
            </w:r>
            <w:r w:rsidR="00D82F02" w:rsidRPr="00797E49">
              <w:rPr>
                <w:lang w:val="fr-FR"/>
              </w:rPr>
              <w:t xml:space="preserve"> morales ou physiques</w:t>
            </w:r>
            <w:r w:rsidRPr="00797E49">
              <w:rPr>
                <w:lang w:val="fr-FR"/>
              </w:rPr>
              <w:t xml:space="preserve"> qui mettent pour la première fois du bois et des produits dérivés sur le marché de l’UE</w:t>
            </w:r>
            <w:r w:rsidR="00A10617" w:rsidRPr="00797E49">
              <w:rPr>
                <w:lang w:val="fr-FR"/>
              </w:rPr>
              <w:t xml:space="preserve">. </w:t>
            </w:r>
            <w:r w:rsidRPr="00797E49">
              <w:rPr>
                <w:lang w:val="fr-FR"/>
              </w:rPr>
              <w:t>Les commerçants sont des personnes</w:t>
            </w:r>
            <w:r w:rsidR="00A10617" w:rsidRPr="00797E49">
              <w:rPr>
                <w:lang w:val="fr-FR"/>
              </w:rPr>
              <w:t xml:space="preserve"> </w:t>
            </w:r>
            <w:r w:rsidR="00D82F02" w:rsidRPr="00797E49">
              <w:rPr>
                <w:lang w:val="fr-FR"/>
              </w:rPr>
              <w:t>morales ou physiques qui achètent ou vendent du bois ou des produits dérivés déjà mis sur le marché</w:t>
            </w:r>
            <w:r w:rsidR="00A10617" w:rsidRPr="00797E49">
              <w:rPr>
                <w:lang w:val="fr-FR"/>
              </w:rPr>
              <w:t xml:space="preserve"> </w:t>
            </w:r>
            <w:r w:rsidR="00D82F02" w:rsidRPr="00797E49">
              <w:rPr>
                <w:lang w:val="fr-FR"/>
              </w:rPr>
              <w:t>intérieur</w:t>
            </w:r>
            <w:r w:rsidR="00A10617" w:rsidRPr="00797E49">
              <w:rPr>
                <w:lang w:val="fr-FR"/>
              </w:rPr>
              <w:t>.</w:t>
            </w:r>
          </w:p>
        </w:tc>
      </w:tr>
      <w:tr w:rsidR="00EA0E69" w:rsidRPr="000D41AB" w:rsidTr="00F93AE1">
        <w:tc>
          <w:tcPr>
            <w:tcW w:w="440" w:type="dxa"/>
          </w:tcPr>
          <w:p w:rsidR="00A10617" w:rsidRPr="00797E49" w:rsidRDefault="00A10617" w:rsidP="00506A90">
            <w:pPr>
              <w:rPr>
                <w:lang w:val="fr-FR"/>
              </w:rPr>
            </w:pPr>
            <w:r w:rsidRPr="00797E49">
              <w:rPr>
                <w:lang w:val="fr-FR"/>
              </w:rPr>
              <w:t>2</w:t>
            </w:r>
          </w:p>
        </w:tc>
        <w:tc>
          <w:tcPr>
            <w:tcW w:w="2546" w:type="dxa"/>
          </w:tcPr>
          <w:p w:rsidR="00A10617" w:rsidRPr="00797E49" w:rsidRDefault="00CC171F" w:rsidP="00506A90">
            <w:pPr>
              <w:rPr>
                <w:lang w:val="fr-FR"/>
              </w:rPr>
            </w:pPr>
            <w:r w:rsidRPr="00797E49">
              <w:rPr>
                <w:lang w:val="fr-FR"/>
              </w:rPr>
              <w:t>Le marché de l’UE est fermé au bois issu d’une récolte illégale</w:t>
            </w:r>
            <w:r w:rsidR="00B55835" w:rsidRPr="00797E49">
              <w:rPr>
                <w:lang w:val="fr-FR"/>
              </w:rPr>
              <w:t>.</w:t>
            </w:r>
          </w:p>
        </w:tc>
        <w:tc>
          <w:tcPr>
            <w:tcW w:w="992" w:type="dxa"/>
          </w:tcPr>
          <w:p w:rsidR="00A10617" w:rsidRPr="00797E49" w:rsidRDefault="00B55835" w:rsidP="00506A90">
            <w:pPr>
              <w:rPr>
                <w:lang w:val="fr-FR"/>
              </w:rPr>
            </w:pPr>
            <w:r w:rsidRPr="00797E49">
              <w:rPr>
                <w:lang w:val="fr-FR"/>
              </w:rPr>
              <w:t>Faux</w:t>
            </w:r>
          </w:p>
        </w:tc>
        <w:tc>
          <w:tcPr>
            <w:tcW w:w="5231" w:type="dxa"/>
          </w:tcPr>
          <w:p w:rsidR="00A10617" w:rsidRPr="00797E49" w:rsidRDefault="002E2DB9" w:rsidP="00476519">
            <w:pPr>
              <w:rPr>
                <w:lang w:val="fr-FR"/>
              </w:rPr>
            </w:pPr>
            <w:r w:rsidRPr="00797E49">
              <w:rPr>
                <w:lang w:val="fr-FR"/>
              </w:rPr>
              <w:t xml:space="preserve">Le </w:t>
            </w:r>
            <w:r w:rsidR="00476519" w:rsidRPr="00797E49">
              <w:rPr>
                <w:lang w:val="fr-FR"/>
              </w:rPr>
              <w:t>RB UE</w:t>
            </w:r>
            <w:r w:rsidRPr="00797E49">
              <w:rPr>
                <w:lang w:val="fr-FR"/>
              </w:rPr>
              <w:t xml:space="preserve"> </w:t>
            </w:r>
            <w:r w:rsidR="00FC19A1" w:rsidRPr="00797E49">
              <w:rPr>
                <w:lang w:val="fr-FR"/>
              </w:rPr>
              <w:t xml:space="preserve">n’est pas une mesure frontalière ; son approche est systématique et vise le comportement des opérateurs de l’UE. </w:t>
            </w:r>
            <w:r w:rsidR="00773824" w:rsidRPr="00797E49">
              <w:rPr>
                <w:lang w:val="fr-FR"/>
              </w:rPr>
              <w:t>Par conséquent les autorités douanières ne contrôlent pas les envois à leurs points d’entrée. La loi ne s’applique que lorsque des marchandises sont</w:t>
            </w:r>
            <w:r w:rsidR="00A10617" w:rsidRPr="00797E49">
              <w:rPr>
                <w:lang w:val="fr-FR"/>
              </w:rPr>
              <w:t xml:space="preserve"> </w:t>
            </w:r>
            <w:r w:rsidR="00773824" w:rsidRPr="00797E49">
              <w:rPr>
                <w:lang w:val="fr-FR"/>
              </w:rPr>
              <w:t xml:space="preserve">mises en libre pratique, c’est-à-dire lorsqu’elles </w:t>
            </w:r>
            <w:r w:rsidR="00403913" w:rsidRPr="00797E49">
              <w:rPr>
                <w:lang w:val="fr-FR"/>
              </w:rPr>
              <w:t>ont été dédouanées et au moment de leur mise sur le marché.</w:t>
            </w:r>
          </w:p>
        </w:tc>
      </w:tr>
      <w:tr w:rsidR="00EA0E69" w:rsidRPr="00797E49" w:rsidTr="00F93AE1">
        <w:tc>
          <w:tcPr>
            <w:tcW w:w="440" w:type="dxa"/>
          </w:tcPr>
          <w:p w:rsidR="00A10617" w:rsidRPr="00797E49" w:rsidRDefault="00A10617" w:rsidP="00506A90">
            <w:pPr>
              <w:rPr>
                <w:lang w:val="fr-FR"/>
              </w:rPr>
            </w:pPr>
            <w:r w:rsidRPr="00797E49">
              <w:rPr>
                <w:lang w:val="fr-FR"/>
              </w:rPr>
              <w:t>3</w:t>
            </w:r>
          </w:p>
        </w:tc>
        <w:tc>
          <w:tcPr>
            <w:tcW w:w="2546" w:type="dxa"/>
          </w:tcPr>
          <w:p w:rsidR="00A10617" w:rsidRPr="00797E49" w:rsidRDefault="00CC171F" w:rsidP="00506A90">
            <w:pPr>
              <w:rPr>
                <w:lang w:val="fr-FR"/>
              </w:rPr>
            </w:pPr>
            <w:r w:rsidRPr="00797E49">
              <w:rPr>
                <w:lang w:val="fr-FR"/>
              </w:rPr>
              <w:t>Le RB UE est entré en vigueur le 3 mars 2013</w:t>
            </w:r>
            <w:r w:rsidR="00B55835" w:rsidRPr="00797E49">
              <w:rPr>
                <w:lang w:val="fr-FR"/>
              </w:rPr>
              <w:t>.</w:t>
            </w:r>
          </w:p>
        </w:tc>
        <w:tc>
          <w:tcPr>
            <w:tcW w:w="992" w:type="dxa"/>
          </w:tcPr>
          <w:p w:rsidR="00A10617" w:rsidRPr="00797E49" w:rsidRDefault="00B55835" w:rsidP="00506A90">
            <w:pPr>
              <w:rPr>
                <w:lang w:val="fr-FR"/>
              </w:rPr>
            </w:pPr>
            <w:r w:rsidRPr="00797E49">
              <w:rPr>
                <w:lang w:val="fr-FR"/>
              </w:rPr>
              <w:t>Vrai</w:t>
            </w:r>
          </w:p>
        </w:tc>
        <w:tc>
          <w:tcPr>
            <w:tcW w:w="5231" w:type="dxa"/>
          </w:tcPr>
          <w:p w:rsidR="00A10617" w:rsidRPr="00797E49" w:rsidRDefault="00A10617" w:rsidP="00506A90">
            <w:pPr>
              <w:rPr>
                <w:lang w:val="fr-FR"/>
              </w:rPr>
            </w:pPr>
          </w:p>
        </w:tc>
      </w:tr>
      <w:tr w:rsidR="00EA0E69" w:rsidRPr="000D41AB" w:rsidTr="00F93AE1">
        <w:tc>
          <w:tcPr>
            <w:tcW w:w="440" w:type="dxa"/>
          </w:tcPr>
          <w:p w:rsidR="00A10617" w:rsidRPr="00797E49" w:rsidRDefault="00A10617" w:rsidP="00506A90">
            <w:pPr>
              <w:rPr>
                <w:lang w:val="fr-FR"/>
              </w:rPr>
            </w:pPr>
            <w:r w:rsidRPr="00797E49">
              <w:rPr>
                <w:lang w:val="fr-FR"/>
              </w:rPr>
              <w:t>4</w:t>
            </w:r>
          </w:p>
        </w:tc>
        <w:tc>
          <w:tcPr>
            <w:tcW w:w="2546" w:type="dxa"/>
          </w:tcPr>
          <w:p w:rsidR="00A10617" w:rsidRPr="00797E49" w:rsidRDefault="00B55835" w:rsidP="00506A90">
            <w:pPr>
              <w:rPr>
                <w:lang w:val="fr-FR"/>
              </w:rPr>
            </w:pPr>
            <w:r w:rsidRPr="00797E49">
              <w:rPr>
                <w:lang w:val="fr-FR"/>
              </w:rPr>
              <w:t xml:space="preserve">Les commerçants comme les opérateurs sont tenus d’utiliser un système de diligence </w:t>
            </w:r>
            <w:r w:rsidR="000D1C22" w:rsidRPr="00797E49">
              <w:rPr>
                <w:lang w:val="fr-FR"/>
              </w:rPr>
              <w:t>raisonnée</w:t>
            </w:r>
            <w:r w:rsidRPr="00797E49">
              <w:rPr>
                <w:lang w:val="fr-FR"/>
              </w:rPr>
              <w:t>.</w:t>
            </w:r>
          </w:p>
        </w:tc>
        <w:tc>
          <w:tcPr>
            <w:tcW w:w="992" w:type="dxa"/>
          </w:tcPr>
          <w:p w:rsidR="00A10617" w:rsidRPr="00797E49" w:rsidRDefault="00B55835" w:rsidP="00506A90">
            <w:pPr>
              <w:rPr>
                <w:lang w:val="fr-FR"/>
              </w:rPr>
            </w:pPr>
            <w:r w:rsidRPr="00797E49">
              <w:rPr>
                <w:lang w:val="fr-FR"/>
              </w:rPr>
              <w:t>Faux</w:t>
            </w:r>
          </w:p>
        </w:tc>
        <w:tc>
          <w:tcPr>
            <w:tcW w:w="5231" w:type="dxa"/>
          </w:tcPr>
          <w:p w:rsidR="00A10617" w:rsidRPr="00797E49" w:rsidRDefault="00FE68F4" w:rsidP="00506A90">
            <w:pPr>
              <w:rPr>
                <w:lang w:val="fr-FR"/>
              </w:rPr>
            </w:pPr>
            <w:r w:rsidRPr="00797E49">
              <w:rPr>
                <w:lang w:val="fr-FR"/>
              </w:rPr>
              <w:t xml:space="preserve">Seuls les opérateurs sont tenus d’utiliser un système de diligence </w:t>
            </w:r>
            <w:r w:rsidR="000D1C22" w:rsidRPr="00797E49">
              <w:rPr>
                <w:lang w:val="fr-FR"/>
              </w:rPr>
              <w:t>raisonnée</w:t>
            </w:r>
            <w:r w:rsidRPr="00797E49">
              <w:rPr>
                <w:lang w:val="fr-FR"/>
              </w:rPr>
              <w:t xml:space="preserve">. </w:t>
            </w:r>
            <w:r w:rsidR="00A10617" w:rsidRPr="00797E49">
              <w:rPr>
                <w:lang w:val="fr-FR"/>
              </w:rPr>
              <w:t xml:space="preserve"> </w:t>
            </w:r>
            <w:r w:rsidRPr="00797E49">
              <w:rPr>
                <w:lang w:val="fr-FR"/>
              </w:rPr>
              <w:t>Les commerçants sont tenus de conserver les informations de traçabilité :</w:t>
            </w:r>
          </w:p>
          <w:p w:rsidR="00A10617" w:rsidRPr="00797E49" w:rsidRDefault="00FE68F4" w:rsidP="00506A90">
            <w:pPr>
              <w:pStyle w:val="Paragraphedeliste"/>
              <w:numPr>
                <w:ilvl w:val="0"/>
                <w:numId w:val="2"/>
              </w:numPr>
              <w:rPr>
                <w:lang w:val="fr-FR"/>
              </w:rPr>
            </w:pPr>
            <w:r w:rsidRPr="00797E49">
              <w:rPr>
                <w:lang w:val="fr-FR"/>
              </w:rPr>
              <w:t>à qui le bois ou les produits dérivés ont-ils été achetés ;</w:t>
            </w:r>
            <w:r w:rsidR="00A10617" w:rsidRPr="00797E49">
              <w:rPr>
                <w:lang w:val="fr-FR"/>
              </w:rPr>
              <w:t xml:space="preserve"> </w:t>
            </w:r>
          </w:p>
          <w:p w:rsidR="00A10617" w:rsidRPr="00797E49" w:rsidRDefault="00FE68F4" w:rsidP="00FE68F4">
            <w:pPr>
              <w:pStyle w:val="Paragraphedeliste"/>
              <w:numPr>
                <w:ilvl w:val="0"/>
                <w:numId w:val="2"/>
              </w:numPr>
              <w:rPr>
                <w:lang w:val="fr-FR"/>
              </w:rPr>
            </w:pPr>
            <w:r w:rsidRPr="00797E49">
              <w:rPr>
                <w:lang w:val="fr-FR"/>
              </w:rPr>
              <w:t>le cas échéant, à qui le bois ou les produits dérivés ont-ils été vendus ?</w:t>
            </w:r>
            <w:r w:rsidR="00476519" w:rsidRPr="00797E49">
              <w:rPr>
                <w:lang w:val="fr-FR"/>
              </w:rPr>
              <w:t xml:space="preserve"> </w:t>
            </w:r>
          </w:p>
        </w:tc>
      </w:tr>
      <w:tr w:rsidR="00EA0E69" w:rsidRPr="000D41AB" w:rsidTr="00F93AE1">
        <w:tc>
          <w:tcPr>
            <w:tcW w:w="440" w:type="dxa"/>
          </w:tcPr>
          <w:p w:rsidR="00A10617" w:rsidRPr="00797E49" w:rsidRDefault="00A10617" w:rsidP="00506A90">
            <w:pPr>
              <w:rPr>
                <w:lang w:val="fr-FR"/>
              </w:rPr>
            </w:pPr>
            <w:r w:rsidRPr="00797E49">
              <w:rPr>
                <w:lang w:val="fr-FR"/>
              </w:rPr>
              <w:t>5</w:t>
            </w:r>
          </w:p>
        </w:tc>
        <w:tc>
          <w:tcPr>
            <w:tcW w:w="2546" w:type="dxa"/>
          </w:tcPr>
          <w:p w:rsidR="00A10617" w:rsidRPr="00797E49" w:rsidRDefault="00CC171F" w:rsidP="00506A90">
            <w:pPr>
              <w:rPr>
                <w:lang w:val="fr-FR"/>
              </w:rPr>
            </w:pPr>
            <w:r w:rsidRPr="00797E49">
              <w:rPr>
                <w:lang w:val="fr-FR"/>
              </w:rPr>
              <w:t>Les produits couverts par une autorisation FLEGT et les produits CITES  couverts par des permis et des autorisations valides sont légaux au sens de la définition donnée dans le RB UE</w:t>
            </w:r>
            <w:r w:rsidR="00B55835" w:rsidRPr="00797E49">
              <w:rPr>
                <w:lang w:val="fr-FR"/>
              </w:rPr>
              <w:t>.</w:t>
            </w:r>
          </w:p>
        </w:tc>
        <w:tc>
          <w:tcPr>
            <w:tcW w:w="992" w:type="dxa"/>
          </w:tcPr>
          <w:p w:rsidR="00A10617" w:rsidRPr="00797E49" w:rsidRDefault="00B55835" w:rsidP="00506A90">
            <w:pPr>
              <w:rPr>
                <w:lang w:val="fr-FR"/>
              </w:rPr>
            </w:pPr>
            <w:r w:rsidRPr="00797E49">
              <w:rPr>
                <w:lang w:val="fr-FR"/>
              </w:rPr>
              <w:t>Vrai</w:t>
            </w:r>
          </w:p>
        </w:tc>
        <w:tc>
          <w:tcPr>
            <w:tcW w:w="5231" w:type="dxa"/>
          </w:tcPr>
          <w:p w:rsidR="00A10617" w:rsidRPr="00797E49" w:rsidRDefault="00F31B22" w:rsidP="00E1597B">
            <w:pPr>
              <w:rPr>
                <w:lang w:val="fr-FR"/>
              </w:rPr>
            </w:pPr>
            <w:r w:rsidRPr="00797E49">
              <w:rPr>
                <w:lang w:val="fr-FR"/>
              </w:rPr>
              <w:t>Toutefois</w:t>
            </w:r>
            <w:r w:rsidR="00A10617" w:rsidRPr="00797E49">
              <w:rPr>
                <w:lang w:val="fr-FR"/>
              </w:rPr>
              <w:t xml:space="preserve">, </w:t>
            </w:r>
            <w:r w:rsidRPr="00797E49">
              <w:rPr>
                <w:lang w:val="fr-FR"/>
              </w:rPr>
              <w:t xml:space="preserve">s’il apparaît que les produits ne sont pas conformes au règlement FLEGT ou CITES, </w:t>
            </w:r>
            <w:r w:rsidR="00E1597B" w:rsidRPr="00797E49">
              <w:rPr>
                <w:lang w:val="fr-FR"/>
              </w:rPr>
              <w:t>c’est à l’opérateur de le vérifier.</w:t>
            </w:r>
          </w:p>
        </w:tc>
      </w:tr>
      <w:tr w:rsidR="00EA0E69" w:rsidRPr="000D41AB" w:rsidTr="00F93AE1">
        <w:tc>
          <w:tcPr>
            <w:tcW w:w="440" w:type="dxa"/>
          </w:tcPr>
          <w:p w:rsidR="00A10617" w:rsidRPr="00797E49" w:rsidRDefault="00A10617" w:rsidP="00506A90">
            <w:pPr>
              <w:rPr>
                <w:lang w:val="fr-FR"/>
              </w:rPr>
            </w:pPr>
            <w:r w:rsidRPr="00797E49">
              <w:rPr>
                <w:lang w:val="fr-FR"/>
              </w:rPr>
              <w:t>6</w:t>
            </w:r>
          </w:p>
        </w:tc>
        <w:tc>
          <w:tcPr>
            <w:tcW w:w="2546" w:type="dxa"/>
          </w:tcPr>
          <w:p w:rsidR="00A10617" w:rsidRPr="00797E49" w:rsidRDefault="00CC171F" w:rsidP="00506A90">
            <w:pPr>
              <w:rPr>
                <w:lang w:val="fr-FR"/>
              </w:rPr>
            </w:pPr>
            <w:r w:rsidRPr="00797E49">
              <w:rPr>
                <w:lang w:val="fr-FR"/>
              </w:rPr>
              <w:t xml:space="preserve">Les opérateurs vendant des produits certifiés ne sont pas tenus </w:t>
            </w:r>
            <w:r w:rsidRPr="00797E49">
              <w:rPr>
                <w:lang w:val="fr-FR"/>
              </w:rPr>
              <w:lastRenderedPageBreak/>
              <w:t>d’appliquer un système de diligence raisonnée</w:t>
            </w:r>
            <w:r w:rsidR="00B55835" w:rsidRPr="00797E49">
              <w:rPr>
                <w:lang w:val="fr-FR"/>
              </w:rPr>
              <w:t>.</w:t>
            </w:r>
          </w:p>
        </w:tc>
        <w:tc>
          <w:tcPr>
            <w:tcW w:w="992" w:type="dxa"/>
          </w:tcPr>
          <w:p w:rsidR="00A10617" w:rsidRPr="00797E49" w:rsidRDefault="00B55835" w:rsidP="00506A90">
            <w:pPr>
              <w:rPr>
                <w:lang w:val="fr-FR"/>
              </w:rPr>
            </w:pPr>
            <w:r w:rsidRPr="00797E49">
              <w:rPr>
                <w:lang w:val="fr-FR"/>
              </w:rPr>
              <w:lastRenderedPageBreak/>
              <w:t>Faux</w:t>
            </w:r>
          </w:p>
        </w:tc>
        <w:tc>
          <w:tcPr>
            <w:tcW w:w="5231" w:type="dxa"/>
          </w:tcPr>
          <w:p w:rsidR="00A10617" w:rsidRPr="00797E49" w:rsidRDefault="00481AEF" w:rsidP="00506A90">
            <w:pPr>
              <w:rPr>
                <w:lang w:val="fr-FR"/>
              </w:rPr>
            </w:pPr>
            <w:r w:rsidRPr="00797E49">
              <w:rPr>
                <w:lang w:val="fr-FR"/>
              </w:rPr>
              <w:t xml:space="preserve">Les opérateurs sont tenus d’utiliser un système de diligence </w:t>
            </w:r>
            <w:r w:rsidR="000D1C22" w:rsidRPr="00797E49">
              <w:rPr>
                <w:lang w:val="fr-FR"/>
              </w:rPr>
              <w:t>raisonnée</w:t>
            </w:r>
            <w:r w:rsidR="00A10617" w:rsidRPr="00797E49">
              <w:rPr>
                <w:lang w:val="fr-FR"/>
              </w:rPr>
              <w:t xml:space="preserve"> </w:t>
            </w:r>
            <w:r w:rsidRPr="00797E49">
              <w:rPr>
                <w:lang w:val="fr-FR"/>
              </w:rPr>
              <w:t>pour les produits couverts par</w:t>
            </w:r>
            <w:r w:rsidR="00A10617" w:rsidRPr="00797E49">
              <w:rPr>
                <w:lang w:val="fr-FR"/>
              </w:rPr>
              <w:t xml:space="preserve"> </w:t>
            </w:r>
            <w:r w:rsidRPr="00797E49">
              <w:rPr>
                <w:lang w:val="fr-FR"/>
              </w:rPr>
              <w:t xml:space="preserve">le </w:t>
            </w:r>
            <w:r w:rsidR="00476519" w:rsidRPr="00797E49">
              <w:rPr>
                <w:lang w:val="fr-FR"/>
              </w:rPr>
              <w:t>RB UE</w:t>
            </w:r>
            <w:r w:rsidR="00A10617" w:rsidRPr="00797E49">
              <w:rPr>
                <w:lang w:val="fr-FR"/>
              </w:rPr>
              <w:t xml:space="preserve">, </w:t>
            </w:r>
            <w:r w:rsidRPr="00797E49">
              <w:rPr>
                <w:lang w:val="fr-FR"/>
              </w:rPr>
              <w:t>qu’ils soient certifiés ou non.</w:t>
            </w:r>
            <w:r w:rsidR="00A10617" w:rsidRPr="00797E49">
              <w:rPr>
                <w:lang w:val="fr-FR"/>
              </w:rPr>
              <w:t xml:space="preserve"> </w:t>
            </w:r>
            <w:r w:rsidRPr="00797E49">
              <w:rPr>
                <w:lang w:val="fr-FR"/>
              </w:rPr>
              <w:t>Selon le</w:t>
            </w:r>
            <w:r w:rsidR="002E2DB9" w:rsidRPr="00797E49">
              <w:rPr>
                <w:lang w:val="fr-FR"/>
              </w:rPr>
              <w:t xml:space="preserve"> </w:t>
            </w:r>
            <w:r w:rsidR="00476519" w:rsidRPr="00797E49">
              <w:rPr>
                <w:lang w:val="fr-FR"/>
              </w:rPr>
              <w:t>RB UE</w:t>
            </w:r>
            <w:r w:rsidR="00A10617" w:rsidRPr="00797E49">
              <w:rPr>
                <w:lang w:val="fr-FR"/>
              </w:rPr>
              <w:t xml:space="preserve"> </w:t>
            </w:r>
            <w:r w:rsidRPr="00797E49">
              <w:rPr>
                <w:i/>
                <w:lang w:val="fr-FR"/>
              </w:rPr>
              <w:t xml:space="preserve">« la </w:t>
            </w:r>
            <w:r w:rsidRPr="00797E49">
              <w:rPr>
                <w:i/>
                <w:lang w:val="fr-FR"/>
              </w:rPr>
              <w:lastRenderedPageBreak/>
              <w:t xml:space="preserve">certification ou d’autres systèmes de vérification tierce partie qui </w:t>
            </w:r>
            <w:r w:rsidR="00B0789F" w:rsidRPr="00797E49">
              <w:rPr>
                <w:i/>
                <w:lang w:val="fr-FR"/>
              </w:rPr>
              <w:t>comprennent une vérification du</w:t>
            </w:r>
            <w:r w:rsidRPr="00797E49">
              <w:rPr>
                <w:i/>
                <w:lang w:val="fr-FR"/>
              </w:rPr>
              <w:t xml:space="preserve"> respect de la législation applicable peuvent être utilisés</w:t>
            </w:r>
            <w:r w:rsidR="00EA0E69" w:rsidRPr="00797E49">
              <w:rPr>
                <w:i/>
                <w:lang w:val="fr-FR"/>
              </w:rPr>
              <w:t xml:space="preserve"> dans</w:t>
            </w:r>
            <w:r w:rsidR="00B0789F" w:rsidRPr="00797E49">
              <w:rPr>
                <w:i/>
                <w:lang w:val="fr-FR"/>
              </w:rPr>
              <w:t xml:space="preserve"> le cadre de</w:t>
            </w:r>
            <w:r w:rsidR="00EA0E69" w:rsidRPr="00797E49">
              <w:rPr>
                <w:i/>
                <w:lang w:val="fr-FR"/>
              </w:rPr>
              <w:t xml:space="preserve"> la procédure d’évaluation </w:t>
            </w:r>
            <w:r w:rsidR="0068669D" w:rsidRPr="00797E49">
              <w:rPr>
                <w:i/>
                <w:lang w:val="fr-FR"/>
              </w:rPr>
              <w:t xml:space="preserve">du </w:t>
            </w:r>
            <w:r w:rsidR="00EA0E69" w:rsidRPr="00797E49">
              <w:rPr>
                <w:i/>
                <w:lang w:val="fr-FR"/>
              </w:rPr>
              <w:t>risque. »</w:t>
            </w:r>
          </w:p>
          <w:p w:rsidR="00A10617" w:rsidRPr="00797E49" w:rsidRDefault="00EA0E69" w:rsidP="0068669D">
            <w:pPr>
              <w:rPr>
                <w:lang w:val="fr-FR"/>
              </w:rPr>
            </w:pPr>
            <w:r w:rsidRPr="00797E49">
              <w:rPr>
                <w:lang w:val="fr-FR"/>
              </w:rPr>
              <w:t>En pratique</w:t>
            </w:r>
            <w:r w:rsidR="00A10617" w:rsidRPr="00797E49">
              <w:rPr>
                <w:lang w:val="fr-FR"/>
              </w:rPr>
              <w:t xml:space="preserve">, </w:t>
            </w:r>
            <w:r w:rsidRPr="00797E49">
              <w:rPr>
                <w:lang w:val="fr-FR"/>
              </w:rPr>
              <w:t>les opérateurs</w:t>
            </w:r>
            <w:r w:rsidR="00A10617" w:rsidRPr="00797E49">
              <w:rPr>
                <w:lang w:val="fr-FR"/>
              </w:rPr>
              <w:t xml:space="preserve"> </w:t>
            </w:r>
            <w:r w:rsidR="0068669D" w:rsidRPr="00797E49">
              <w:rPr>
                <w:lang w:val="fr-FR"/>
              </w:rPr>
              <w:t>peuvent considérer que les produits certifiés</w:t>
            </w:r>
            <w:r w:rsidR="00A10617" w:rsidRPr="00797E49">
              <w:rPr>
                <w:lang w:val="fr-FR"/>
              </w:rPr>
              <w:t xml:space="preserve"> </w:t>
            </w:r>
            <w:r w:rsidR="0068669D" w:rsidRPr="00797E49">
              <w:rPr>
                <w:lang w:val="fr-FR"/>
              </w:rPr>
              <w:t>de manière crédible ou</w:t>
            </w:r>
            <w:r w:rsidR="00A10617" w:rsidRPr="00797E49">
              <w:rPr>
                <w:lang w:val="fr-FR"/>
              </w:rPr>
              <w:t xml:space="preserve"> </w:t>
            </w:r>
            <w:r w:rsidR="0068669D" w:rsidRPr="00797E49">
              <w:rPr>
                <w:lang w:val="fr-FR"/>
              </w:rPr>
              <w:t xml:space="preserve">légalement vérifiés présentent un risque négligeable d’être illégaux ; c’est-à-dire qu’ils peuvent être mis sur le marché sans mesures supplémentaires d’atténuation du risque, sous réserve que le reste des informations recueillies et les réponses aux questions d’évaluation du risque ne soient pas en contradiction avec cette conclusion. </w:t>
            </w:r>
            <w:r w:rsidR="00A10617" w:rsidRPr="00797E49">
              <w:rPr>
                <w:lang w:val="fr-FR"/>
              </w:rPr>
              <w:t xml:space="preserve"> </w:t>
            </w:r>
          </w:p>
        </w:tc>
      </w:tr>
      <w:tr w:rsidR="00EA0E69" w:rsidRPr="00797E49" w:rsidTr="00F93AE1">
        <w:tc>
          <w:tcPr>
            <w:tcW w:w="440" w:type="dxa"/>
          </w:tcPr>
          <w:p w:rsidR="00A10617" w:rsidRPr="00797E49" w:rsidRDefault="00A10617" w:rsidP="00506A90">
            <w:pPr>
              <w:rPr>
                <w:lang w:val="fr-FR"/>
              </w:rPr>
            </w:pPr>
            <w:r w:rsidRPr="00797E49">
              <w:rPr>
                <w:lang w:val="fr-FR"/>
              </w:rPr>
              <w:lastRenderedPageBreak/>
              <w:t>7</w:t>
            </w:r>
          </w:p>
        </w:tc>
        <w:tc>
          <w:tcPr>
            <w:tcW w:w="2546" w:type="dxa"/>
          </w:tcPr>
          <w:p w:rsidR="00A10617" w:rsidRPr="00797E49" w:rsidRDefault="00CC171F" w:rsidP="00506A90">
            <w:pPr>
              <w:rPr>
                <w:lang w:val="fr-FR"/>
              </w:rPr>
            </w:pPr>
            <w:r w:rsidRPr="00797E49">
              <w:rPr>
                <w:lang w:val="fr-FR"/>
              </w:rPr>
              <w:t>Les produits de l’édition et les produits recyclés ne sont pas soumis au RB UE</w:t>
            </w:r>
            <w:r w:rsidR="00B55835" w:rsidRPr="00797E49">
              <w:rPr>
                <w:lang w:val="fr-FR"/>
              </w:rPr>
              <w:t>.</w:t>
            </w:r>
          </w:p>
        </w:tc>
        <w:tc>
          <w:tcPr>
            <w:tcW w:w="992" w:type="dxa"/>
          </w:tcPr>
          <w:p w:rsidR="00A10617" w:rsidRPr="00797E49" w:rsidRDefault="00B55835" w:rsidP="00506A90">
            <w:pPr>
              <w:rPr>
                <w:lang w:val="fr-FR"/>
              </w:rPr>
            </w:pPr>
            <w:r w:rsidRPr="00797E49">
              <w:rPr>
                <w:lang w:val="fr-FR"/>
              </w:rPr>
              <w:t>Vrai</w:t>
            </w:r>
          </w:p>
        </w:tc>
        <w:tc>
          <w:tcPr>
            <w:tcW w:w="5231" w:type="dxa"/>
          </w:tcPr>
          <w:p w:rsidR="00A10617" w:rsidRPr="00797E49" w:rsidRDefault="00A10617" w:rsidP="00506A90">
            <w:pPr>
              <w:rPr>
                <w:lang w:val="fr-FR"/>
              </w:rPr>
            </w:pPr>
          </w:p>
        </w:tc>
      </w:tr>
      <w:tr w:rsidR="00EA0E69" w:rsidRPr="000D41AB" w:rsidTr="00F93AE1">
        <w:tc>
          <w:tcPr>
            <w:tcW w:w="440" w:type="dxa"/>
          </w:tcPr>
          <w:p w:rsidR="00A10617" w:rsidRPr="00797E49" w:rsidRDefault="00A10617" w:rsidP="00506A90">
            <w:pPr>
              <w:rPr>
                <w:lang w:val="fr-FR"/>
              </w:rPr>
            </w:pPr>
            <w:r w:rsidRPr="00797E49">
              <w:rPr>
                <w:lang w:val="fr-FR"/>
              </w:rPr>
              <w:t>8</w:t>
            </w:r>
          </w:p>
        </w:tc>
        <w:tc>
          <w:tcPr>
            <w:tcW w:w="2546" w:type="dxa"/>
          </w:tcPr>
          <w:p w:rsidR="00A10617" w:rsidRPr="00797E49" w:rsidRDefault="00131938" w:rsidP="00506A90">
            <w:pPr>
              <w:rPr>
                <w:lang w:val="fr-FR"/>
              </w:rPr>
            </w:pPr>
            <w:r w:rsidRPr="00797E49">
              <w:rPr>
                <w:lang w:val="fr-FR"/>
              </w:rPr>
              <w:t>Les organisations de contrôle doivent être reconnues par l’autorité compétente de l’État membre.</w:t>
            </w:r>
          </w:p>
        </w:tc>
        <w:tc>
          <w:tcPr>
            <w:tcW w:w="992" w:type="dxa"/>
          </w:tcPr>
          <w:p w:rsidR="00A10617" w:rsidRPr="00797E49" w:rsidRDefault="00B55835" w:rsidP="00506A90">
            <w:pPr>
              <w:rPr>
                <w:lang w:val="fr-FR"/>
              </w:rPr>
            </w:pPr>
            <w:r w:rsidRPr="00797E49">
              <w:rPr>
                <w:lang w:val="fr-FR"/>
              </w:rPr>
              <w:t>Faux</w:t>
            </w:r>
          </w:p>
        </w:tc>
        <w:tc>
          <w:tcPr>
            <w:tcW w:w="5231" w:type="dxa"/>
          </w:tcPr>
          <w:p w:rsidR="00A10617" w:rsidRPr="00797E49" w:rsidRDefault="0068669D" w:rsidP="0068669D">
            <w:pPr>
              <w:rPr>
                <w:lang w:val="fr-FR"/>
              </w:rPr>
            </w:pPr>
            <w:r w:rsidRPr="00797E49">
              <w:rPr>
                <w:lang w:val="fr-FR"/>
              </w:rPr>
              <w:t>Les</w:t>
            </w:r>
            <w:r w:rsidR="00A10617" w:rsidRPr="00797E49">
              <w:rPr>
                <w:lang w:val="fr-FR"/>
              </w:rPr>
              <w:t xml:space="preserve"> organisations </w:t>
            </w:r>
            <w:r w:rsidRPr="00797E49">
              <w:rPr>
                <w:lang w:val="fr-FR"/>
              </w:rPr>
              <w:t>de contrôles doivent être reconnues par la Commission européenne.</w:t>
            </w:r>
            <w:r w:rsidR="00A10617" w:rsidRPr="00797E49">
              <w:rPr>
                <w:lang w:val="fr-FR"/>
              </w:rPr>
              <w:t xml:space="preserve"> </w:t>
            </w:r>
          </w:p>
        </w:tc>
      </w:tr>
      <w:tr w:rsidR="00EA0E69" w:rsidRPr="000D41AB" w:rsidTr="00F93AE1">
        <w:tc>
          <w:tcPr>
            <w:tcW w:w="440" w:type="dxa"/>
          </w:tcPr>
          <w:p w:rsidR="00A10617" w:rsidRPr="00797E49" w:rsidRDefault="00A10617" w:rsidP="00506A90">
            <w:pPr>
              <w:rPr>
                <w:lang w:val="fr-FR"/>
              </w:rPr>
            </w:pPr>
            <w:r w:rsidRPr="00797E49">
              <w:rPr>
                <w:lang w:val="fr-FR"/>
              </w:rPr>
              <w:t>9</w:t>
            </w:r>
          </w:p>
        </w:tc>
        <w:tc>
          <w:tcPr>
            <w:tcW w:w="2546" w:type="dxa"/>
          </w:tcPr>
          <w:p w:rsidR="00A10617" w:rsidRPr="00797E49" w:rsidRDefault="00CC171F" w:rsidP="00506A90">
            <w:pPr>
              <w:rPr>
                <w:lang w:val="fr-FR"/>
              </w:rPr>
            </w:pPr>
            <w:r w:rsidRPr="00797E49">
              <w:rPr>
                <w:lang w:val="fr-FR"/>
              </w:rPr>
              <w:t>Les matériaux d’emballage ne sont pas soumis au RB UE</w:t>
            </w:r>
            <w:r w:rsidR="00131938" w:rsidRPr="00797E49">
              <w:rPr>
                <w:lang w:val="fr-FR"/>
              </w:rPr>
              <w:t>.</w:t>
            </w:r>
          </w:p>
        </w:tc>
        <w:tc>
          <w:tcPr>
            <w:tcW w:w="992" w:type="dxa"/>
          </w:tcPr>
          <w:p w:rsidR="00A10617" w:rsidRPr="00797E49" w:rsidRDefault="00B55835" w:rsidP="00506A90">
            <w:pPr>
              <w:rPr>
                <w:lang w:val="fr-FR"/>
              </w:rPr>
            </w:pPr>
            <w:r w:rsidRPr="00797E49">
              <w:rPr>
                <w:lang w:val="fr-FR"/>
              </w:rPr>
              <w:t>Faux</w:t>
            </w:r>
          </w:p>
        </w:tc>
        <w:tc>
          <w:tcPr>
            <w:tcW w:w="5231" w:type="dxa"/>
          </w:tcPr>
          <w:p w:rsidR="00A10617" w:rsidRPr="00797E49" w:rsidRDefault="00CF3747" w:rsidP="00506A90">
            <w:pPr>
              <w:rPr>
                <w:lang w:val="fr-FR"/>
              </w:rPr>
            </w:pPr>
            <w:r w:rsidRPr="00797E49">
              <w:rPr>
                <w:lang w:val="fr-FR"/>
              </w:rPr>
              <w:t>Les produits suivants sont couverts s’ils sont mis sur le marché</w:t>
            </w:r>
            <w:r w:rsidR="00A10617" w:rsidRPr="00797E49">
              <w:rPr>
                <w:lang w:val="fr-FR"/>
              </w:rPr>
              <w:t xml:space="preserve"> </w:t>
            </w:r>
            <w:r w:rsidRPr="00797E49">
              <w:rPr>
                <w:lang w:val="fr-FR"/>
              </w:rPr>
              <w:t>en tant que tels :</w:t>
            </w:r>
          </w:p>
          <w:p w:rsidR="00A10617" w:rsidRPr="00797E49" w:rsidRDefault="00A10617" w:rsidP="00506A90">
            <w:pPr>
              <w:pStyle w:val="Paragraphedeliste"/>
              <w:numPr>
                <w:ilvl w:val="0"/>
                <w:numId w:val="1"/>
              </w:numPr>
              <w:rPr>
                <w:lang w:val="fr-FR"/>
              </w:rPr>
            </w:pPr>
            <w:r w:rsidRPr="00797E49">
              <w:rPr>
                <w:lang w:val="fr-FR"/>
              </w:rPr>
              <w:t xml:space="preserve">415 </w:t>
            </w:r>
            <w:r w:rsidR="00CF3747" w:rsidRPr="00797E49">
              <w:rPr>
                <w:lang w:val="fr-FR"/>
              </w:rPr>
              <w:t>caisses</w:t>
            </w:r>
            <w:r w:rsidRPr="00797E49">
              <w:rPr>
                <w:lang w:val="fr-FR"/>
              </w:rPr>
              <w:t xml:space="preserve">, </w:t>
            </w:r>
            <w:r w:rsidR="00CF3747" w:rsidRPr="00797E49">
              <w:rPr>
                <w:lang w:val="fr-FR"/>
              </w:rPr>
              <w:t xml:space="preserve">caissettes, cageots, </w:t>
            </w:r>
            <w:r w:rsidR="00B85F08" w:rsidRPr="00797E49">
              <w:rPr>
                <w:lang w:val="fr-FR"/>
              </w:rPr>
              <w:t>cylindres</w:t>
            </w:r>
            <w:r w:rsidR="00CF3747" w:rsidRPr="00797E49">
              <w:rPr>
                <w:lang w:val="fr-FR"/>
              </w:rPr>
              <w:t xml:space="preserve"> et emballages similaires</w:t>
            </w:r>
            <w:r w:rsidR="006A3909" w:rsidRPr="00797E49">
              <w:rPr>
                <w:lang w:val="fr-FR"/>
              </w:rPr>
              <w:t>,</w:t>
            </w:r>
            <w:r w:rsidR="00CF3747" w:rsidRPr="00797E49">
              <w:rPr>
                <w:lang w:val="fr-FR"/>
              </w:rPr>
              <w:t xml:space="preserve"> en bois ;</w:t>
            </w:r>
            <w:r w:rsidRPr="00797E49">
              <w:rPr>
                <w:lang w:val="fr-FR"/>
              </w:rPr>
              <w:t xml:space="preserve"> </w:t>
            </w:r>
            <w:r w:rsidR="00B85F08" w:rsidRPr="00797E49">
              <w:rPr>
                <w:lang w:val="fr-FR"/>
              </w:rPr>
              <w:t xml:space="preserve">(tambours) </w:t>
            </w:r>
            <w:r w:rsidR="006A3909" w:rsidRPr="00797E49">
              <w:rPr>
                <w:lang w:val="fr-FR"/>
              </w:rPr>
              <w:t xml:space="preserve">tourets </w:t>
            </w:r>
            <w:r w:rsidR="00B85F08" w:rsidRPr="00797E49">
              <w:rPr>
                <w:lang w:val="fr-FR"/>
              </w:rPr>
              <w:t xml:space="preserve">pour câbles, </w:t>
            </w:r>
            <w:r w:rsidR="006A3909" w:rsidRPr="00797E49">
              <w:rPr>
                <w:lang w:val="fr-FR"/>
              </w:rPr>
              <w:t>en bois ; palettes</w:t>
            </w:r>
            <w:r w:rsidR="00B85F08" w:rsidRPr="00797E49">
              <w:rPr>
                <w:lang w:val="fr-FR"/>
              </w:rPr>
              <w:t xml:space="preserve"> simples</w:t>
            </w:r>
            <w:r w:rsidR="006A3909" w:rsidRPr="00797E49">
              <w:rPr>
                <w:lang w:val="fr-FR"/>
              </w:rPr>
              <w:t>, palettes</w:t>
            </w:r>
            <w:r w:rsidR="00B85F08" w:rsidRPr="00797E49">
              <w:rPr>
                <w:lang w:val="fr-FR"/>
              </w:rPr>
              <w:t>-caisses</w:t>
            </w:r>
            <w:r w:rsidR="006A3909" w:rsidRPr="00797E49">
              <w:rPr>
                <w:lang w:val="fr-FR"/>
              </w:rPr>
              <w:t xml:space="preserve"> et autres plateaux de chargement, en bois ;</w:t>
            </w:r>
            <w:r w:rsidRPr="00797E49">
              <w:rPr>
                <w:lang w:val="fr-FR"/>
              </w:rPr>
              <w:t xml:space="preserve"> </w:t>
            </w:r>
            <w:r w:rsidR="006A3909" w:rsidRPr="00797E49">
              <w:rPr>
                <w:lang w:val="fr-FR"/>
              </w:rPr>
              <w:t xml:space="preserve">rehausses de palettes en bois ; </w:t>
            </w:r>
          </w:p>
          <w:p w:rsidR="00A10617" w:rsidRPr="00797E49" w:rsidRDefault="00A10617" w:rsidP="00506A90">
            <w:pPr>
              <w:pStyle w:val="Paragraphedeliste"/>
              <w:numPr>
                <w:ilvl w:val="0"/>
                <w:numId w:val="1"/>
              </w:numPr>
              <w:rPr>
                <w:lang w:val="fr-FR"/>
              </w:rPr>
            </w:pPr>
            <w:r w:rsidRPr="00797E49">
              <w:rPr>
                <w:lang w:val="fr-FR"/>
              </w:rPr>
              <w:t>4819</w:t>
            </w:r>
            <w:r w:rsidR="006A3909" w:rsidRPr="00797E49">
              <w:rPr>
                <w:lang w:val="fr-FR"/>
              </w:rPr>
              <w:t>boîtes</w:t>
            </w:r>
            <w:r w:rsidRPr="00797E49">
              <w:rPr>
                <w:lang w:val="fr-FR"/>
              </w:rPr>
              <w:t xml:space="preserve">, </w:t>
            </w:r>
            <w:r w:rsidR="00B756A2" w:rsidRPr="00797E49">
              <w:rPr>
                <w:lang w:val="fr-FR"/>
              </w:rPr>
              <w:t>sacs</w:t>
            </w:r>
            <w:r w:rsidR="00E46FAB" w:rsidRPr="00797E49">
              <w:rPr>
                <w:lang w:val="fr-FR"/>
              </w:rPr>
              <w:t xml:space="preserve">, pochettes, cornets </w:t>
            </w:r>
            <w:r w:rsidR="00B756A2" w:rsidRPr="00797E49">
              <w:rPr>
                <w:lang w:val="fr-FR"/>
              </w:rPr>
              <w:t>et autres</w:t>
            </w:r>
            <w:r w:rsidRPr="00797E49">
              <w:rPr>
                <w:lang w:val="fr-FR"/>
              </w:rPr>
              <w:t xml:space="preserve"> </w:t>
            </w:r>
            <w:r w:rsidR="00B756A2" w:rsidRPr="00797E49">
              <w:rPr>
                <w:lang w:val="fr-FR"/>
              </w:rPr>
              <w:t>emballages en papier, carton, ouate de cellulose ou nappes de fibres de cellulose ;</w:t>
            </w:r>
            <w:r w:rsidRPr="00797E49">
              <w:rPr>
                <w:lang w:val="fr-FR"/>
              </w:rPr>
              <w:t xml:space="preserve"> </w:t>
            </w:r>
            <w:r w:rsidR="00E46FAB" w:rsidRPr="00797E49">
              <w:rPr>
                <w:lang w:val="fr-FR"/>
              </w:rPr>
              <w:t>cartonnages de bureau, de magasin ou similaires.</w:t>
            </w:r>
            <w:r w:rsidRPr="00797E49">
              <w:rPr>
                <w:lang w:val="fr-FR"/>
              </w:rPr>
              <w:t xml:space="preserve"> </w:t>
            </w:r>
          </w:p>
          <w:p w:rsidR="00A10617" w:rsidRPr="00797E49" w:rsidRDefault="00B756A2" w:rsidP="000D1C22">
            <w:pPr>
              <w:rPr>
                <w:lang w:val="fr-FR"/>
              </w:rPr>
            </w:pPr>
            <w:r w:rsidRPr="00797E49">
              <w:rPr>
                <w:lang w:val="fr-FR"/>
              </w:rPr>
              <w:t xml:space="preserve">Si l’emballage </w:t>
            </w:r>
            <w:r w:rsidR="00B85F08" w:rsidRPr="00797E49">
              <w:rPr>
                <w:lang w:val="fr-FR"/>
              </w:rPr>
              <w:t>classé sous les codes SH</w:t>
            </w:r>
            <w:r w:rsidR="00A10617" w:rsidRPr="00797E49">
              <w:rPr>
                <w:lang w:val="fr-FR"/>
              </w:rPr>
              <w:t xml:space="preserve"> 4415 </w:t>
            </w:r>
            <w:r w:rsidR="00B85F08" w:rsidRPr="00797E49">
              <w:rPr>
                <w:lang w:val="fr-FR"/>
              </w:rPr>
              <w:t>ou</w:t>
            </w:r>
            <w:r w:rsidR="00A10617" w:rsidRPr="00797E49">
              <w:rPr>
                <w:lang w:val="fr-FR"/>
              </w:rPr>
              <w:t xml:space="preserve"> 4819</w:t>
            </w:r>
            <w:r w:rsidR="00B85F08" w:rsidRPr="00797E49">
              <w:rPr>
                <w:lang w:val="fr-FR"/>
              </w:rPr>
              <w:t xml:space="preserve"> est utilisé pour « soutenir, protéger ou porter » un autre produit, il n’est pas couvert.</w:t>
            </w:r>
            <w:r w:rsidR="00A10617" w:rsidRPr="00797E49">
              <w:rPr>
                <w:lang w:val="fr-FR"/>
              </w:rPr>
              <w:t xml:space="preserve"> </w:t>
            </w:r>
          </w:p>
        </w:tc>
      </w:tr>
      <w:tr w:rsidR="00EA0E69" w:rsidRPr="000D41AB" w:rsidTr="00F93AE1">
        <w:tc>
          <w:tcPr>
            <w:tcW w:w="440" w:type="dxa"/>
          </w:tcPr>
          <w:p w:rsidR="00A10617" w:rsidRPr="00797E49" w:rsidRDefault="00A10617" w:rsidP="00506A90">
            <w:pPr>
              <w:rPr>
                <w:lang w:val="fr-FR"/>
              </w:rPr>
            </w:pPr>
            <w:r w:rsidRPr="00797E49">
              <w:rPr>
                <w:lang w:val="fr-FR"/>
              </w:rPr>
              <w:t>10</w:t>
            </w:r>
          </w:p>
        </w:tc>
        <w:tc>
          <w:tcPr>
            <w:tcW w:w="2546" w:type="dxa"/>
          </w:tcPr>
          <w:p w:rsidR="00A10617" w:rsidRPr="00797E49" w:rsidRDefault="00CC171F" w:rsidP="00131938">
            <w:pPr>
              <w:rPr>
                <w:lang w:val="fr-FR"/>
              </w:rPr>
            </w:pPr>
            <w:r w:rsidRPr="00797E49">
              <w:rPr>
                <w:lang w:val="fr-FR"/>
              </w:rPr>
              <w:t>Le RB UE ne s’applique qu’au bois et aux produits dérivés récolté ou fabriqués dans l’UE</w:t>
            </w:r>
            <w:r w:rsidR="00131938" w:rsidRPr="00797E49">
              <w:rPr>
                <w:lang w:val="fr-FR"/>
              </w:rPr>
              <w:t>.</w:t>
            </w:r>
          </w:p>
        </w:tc>
        <w:tc>
          <w:tcPr>
            <w:tcW w:w="992" w:type="dxa"/>
          </w:tcPr>
          <w:p w:rsidR="00A10617" w:rsidRPr="00797E49" w:rsidRDefault="00B55835" w:rsidP="00506A90">
            <w:pPr>
              <w:rPr>
                <w:lang w:val="fr-FR"/>
              </w:rPr>
            </w:pPr>
            <w:r w:rsidRPr="00797E49">
              <w:rPr>
                <w:lang w:val="fr-FR"/>
              </w:rPr>
              <w:t>Faux</w:t>
            </w:r>
          </w:p>
        </w:tc>
        <w:tc>
          <w:tcPr>
            <w:tcW w:w="5231" w:type="dxa"/>
          </w:tcPr>
          <w:p w:rsidR="00A10617" w:rsidRPr="00797E49" w:rsidRDefault="00B85F08" w:rsidP="00B85F08">
            <w:pPr>
              <w:rPr>
                <w:lang w:val="fr-FR"/>
              </w:rPr>
            </w:pPr>
            <w:r w:rsidRPr="00797E49">
              <w:rPr>
                <w:lang w:val="fr-FR"/>
              </w:rPr>
              <w:t>Le règlement couvre le commerce</w:t>
            </w:r>
            <w:r w:rsidR="00A10617" w:rsidRPr="00797E49">
              <w:rPr>
                <w:lang w:val="fr-FR"/>
              </w:rPr>
              <w:t xml:space="preserve"> </w:t>
            </w:r>
            <w:r w:rsidRPr="00797E49">
              <w:rPr>
                <w:lang w:val="fr-FR"/>
              </w:rPr>
              <w:t>de produits dérivés du bois sur le marché de l’UE et s’applique</w:t>
            </w:r>
            <w:r w:rsidR="00A10617" w:rsidRPr="00797E49">
              <w:rPr>
                <w:lang w:val="fr-FR"/>
              </w:rPr>
              <w:t xml:space="preserve"> </w:t>
            </w:r>
            <w:r w:rsidRPr="00797E49">
              <w:rPr>
                <w:lang w:val="fr-FR"/>
              </w:rPr>
              <w:t>aussi bien au bois importé qu’au bois produit dans l’UE.</w:t>
            </w:r>
            <w:r w:rsidR="00A10617" w:rsidRPr="00797E49">
              <w:rPr>
                <w:lang w:val="fr-FR"/>
              </w:rPr>
              <w:t xml:space="preserve"> </w:t>
            </w:r>
          </w:p>
        </w:tc>
      </w:tr>
      <w:tr w:rsidR="00EA0E69" w:rsidRPr="000D41AB" w:rsidTr="00F93AE1">
        <w:tc>
          <w:tcPr>
            <w:tcW w:w="440" w:type="dxa"/>
          </w:tcPr>
          <w:p w:rsidR="00A10617" w:rsidRPr="00797E49" w:rsidRDefault="00A10617" w:rsidP="00506A90">
            <w:pPr>
              <w:rPr>
                <w:lang w:val="fr-FR"/>
              </w:rPr>
            </w:pPr>
            <w:r w:rsidRPr="00797E49">
              <w:rPr>
                <w:lang w:val="fr-FR"/>
              </w:rPr>
              <w:t>11</w:t>
            </w:r>
          </w:p>
        </w:tc>
        <w:tc>
          <w:tcPr>
            <w:tcW w:w="2546" w:type="dxa"/>
          </w:tcPr>
          <w:p w:rsidR="00A10617" w:rsidRPr="00797E49" w:rsidRDefault="0095554A" w:rsidP="00506A90">
            <w:pPr>
              <w:rPr>
                <w:lang w:val="fr-FR"/>
              </w:rPr>
            </w:pPr>
            <w:r w:rsidRPr="00797E49">
              <w:rPr>
                <w:lang w:val="fr-FR"/>
              </w:rPr>
              <w:t xml:space="preserve">Les opérateurs doivent utiliser un système de diligence </w:t>
            </w:r>
            <w:r w:rsidR="000D1C22" w:rsidRPr="00797E49">
              <w:rPr>
                <w:lang w:val="fr-FR"/>
              </w:rPr>
              <w:t>raisonnée</w:t>
            </w:r>
            <w:r w:rsidRPr="00797E49">
              <w:rPr>
                <w:lang w:val="fr-FR"/>
              </w:rPr>
              <w:t xml:space="preserve"> élaboré par des </w:t>
            </w:r>
            <w:r w:rsidRPr="00797E49">
              <w:rPr>
                <w:lang w:val="fr-FR"/>
              </w:rPr>
              <w:lastRenderedPageBreak/>
              <w:t>organisations de contrôle.</w:t>
            </w:r>
          </w:p>
        </w:tc>
        <w:tc>
          <w:tcPr>
            <w:tcW w:w="992" w:type="dxa"/>
          </w:tcPr>
          <w:p w:rsidR="00A10617" w:rsidRPr="00797E49" w:rsidRDefault="00B55835" w:rsidP="00506A90">
            <w:pPr>
              <w:rPr>
                <w:lang w:val="fr-FR"/>
              </w:rPr>
            </w:pPr>
            <w:r w:rsidRPr="00797E49">
              <w:rPr>
                <w:lang w:val="fr-FR"/>
              </w:rPr>
              <w:lastRenderedPageBreak/>
              <w:t>Faux</w:t>
            </w:r>
          </w:p>
        </w:tc>
        <w:tc>
          <w:tcPr>
            <w:tcW w:w="5231" w:type="dxa"/>
          </w:tcPr>
          <w:p w:rsidR="00A10617" w:rsidRPr="00797E49" w:rsidRDefault="00B85F08" w:rsidP="000D1C22">
            <w:pPr>
              <w:rPr>
                <w:lang w:val="fr-FR"/>
              </w:rPr>
            </w:pPr>
            <w:r w:rsidRPr="00797E49">
              <w:rPr>
                <w:lang w:val="fr-FR"/>
              </w:rPr>
              <w:t>Les opérateurs peuvent élaborer</w:t>
            </w:r>
            <w:r w:rsidR="00A10617" w:rsidRPr="00797E49">
              <w:rPr>
                <w:lang w:val="fr-FR"/>
              </w:rPr>
              <w:t xml:space="preserve"> </w:t>
            </w:r>
            <w:r w:rsidR="000D1C22" w:rsidRPr="00797E49">
              <w:rPr>
                <w:lang w:val="fr-FR"/>
              </w:rPr>
              <w:t>leur propre</w:t>
            </w:r>
            <w:r w:rsidR="00A10617" w:rsidRPr="00797E49">
              <w:rPr>
                <w:lang w:val="fr-FR"/>
              </w:rPr>
              <w:t xml:space="preserve"> </w:t>
            </w:r>
            <w:r w:rsidR="00481AEF" w:rsidRPr="00797E49">
              <w:rPr>
                <w:lang w:val="fr-FR"/>
              </w:rPr>
              <w:t xml:space="preserve">système de diligence </w:t>
            </w:r>
            <w:r w:rsidR="000D1C22" w:rsidRPr="00797E49">
              <w:rPr>
                <w:lang w:val="fr-FR"/>
              </w:rPr>
              <w:t>raisonnée</w:t>
            </w:r>
            <w:r w:rsidR="00A10617" w:rsidRPr="00797E49">
              <w:rPr>
                <w:lang w:val="fr-FR"/>
              </w:rPr>
              <w:t xml:space="preserve"> </w:t>
            </w:r>
            <w:r w:rsidR="000D1C22" w:rsidRPr="00797E49">
              <w:rPr>
                <w:lang w:val="fr-FR"/>
              </w:rPr>
              <w:t>ou utiliser un</w:t>
            </w:r>
            <w:r w:rsidR="00A10617" w:rsidRPr="00797E49">
              <w:rPr>
                <w:lang w:val="fr-FR"/>
              </w:rPr>
              <w:t xml:space="preserve"> </w:t>
            </w:r>
            <w:r w:rsidR="00481AEF" w:rsidRPr="00797E49">
              <w:rPr>
                <w:lang w:val="fr-FR"/>
              </w:rPr>
              <w:t xml:space="preserve">système de diligence </w:t>
            </w:r>
            <w:r w:rsidR="000D1C22" w:rsidRPr="00797E49">
              <w:rPr>
                <w:lang w:val="fr-FR"/>
              </w:rPr>
              <w:t>raisonnée</w:t>
            </w:r>
            <w:r w:rsidR="00A10617" w:rsidRPr="00797E49">
              <w:rPr>
                <w:lang w:val="fr-FR"/>
              </w:rPr>
              <w:t xml:space="preserve"> </w:t>
            </w:r>
            <w:r w:rsidR="000D1C22" w:rsidRPr="00797E49">
              <w:rPr>
                <w:lang w:val="fr-FR"/>
              </w:rPr>
              <w:t>élaboré par une organisation de contrôle.</w:t>
            </w:r>
            <w:r w:rsidR="00A10617" w:rsidRPr="00797E49">
              <w:rPr>
                <w:lang w:val="fr-FR"/>
              </w:rPr>
              <w:t xml:space="preserve"> </w:t>
            </w:r>
          </w:p>
        </w:tc>
      </w:tr>
      <w:tr w:rsidR="00EA0E69" w:rsidRPr="00797E49" w:rsidTr="00F93AE1">
        <w:tc>
          <w:tcPr>
            <w:tcW w:w="440" w:type="dxa"/>
          </w:tcPr>
          <w:p w:rsidR="00A10617" w:rsidRPr="00797E49" w:rsidRDefault="00A10617" w:rsidP="00506A90">
            <w:pPr>
              <w:rPr>
                <w:lang w:val="fr-FR"/>
              </w:rPr>
            </w:pPr>
            <w:r w:rsidRPr="00797E49">
              <w:rPr>
                <w:lang w:val="fr-FR"/>
              </w:rPr>
              <w:lastRenderedPageBreak/>
              <w:t>12</w:t>
            </w:r>
          </w:p>
        </w:tc>
        <w:tc>
          <w:tcPr>
            <w:tcW w:w="2546" w:type="dxa"/>
          </w:tcPr>
          <w:p w:rsidR="00A10617" w:rsidRPr="00797E49" w:rsidRDefault="00CC171F" w:rsidP="00506A90">
            <w:pPr>
              <w:rPr>
                <w:lang w:val="fr-FR"/>
              </w:rPr>
            </w:pPr>
            <w:r w:rsidRPr="00797E49">
              <w:rPr>
                <w:lang w:val="fr-FR"/>
              </w:rPr>
              <w:t>L’autorité compétente doit contrôler les organisations de contrôle au moins une fois tous les deux ans</w:t>
            </w:r>
            <w:r w:rsidR="0095554A" w:rsidRPr="00797E49">
              <w:rPr>
                <w:lang w:val="fr-FR"/>
              </w:rPr>
              <w:t>.</w:t>
            </w:r>
          </w:p>
        </w:tc>
        <w:tc>
          <w:tcPr>
            <w:tcW w:w="992" w:type="dxa"/>
          </w:tcPr>
          <w:p w:rsidR="00A10617" w:rsidRPr="00797E49" w:rsidRDefault="00B55835" w:rsidP="00506A90">
            <w:pPr>
              <w:rPr>
                <w:lang w:val="fr-FR"/>
              </w:rPr>
            </w:pPr>
            <w:r w:rsidRPr="00797E49">
              <w:rPr>
                <w:lang w:val="fr-FR"/>
              </w:rPr>
              <w:t>Vrai</w:t>
            </w:r>
          </w:p>
        </w:tc>
        <w:tc>
          <w:tcPr>
            <w:tcW w:w="5231" w:type="dxa"/>
          </w:tcPr>
          <w:p w:rsidR="00A10617" w:rsidRPr="00797E49" w:rsidRDefault="00A10617" w:rsidP="00506A90">
            <w:pPr>
              <w:rPr>
                <w:lang w:val="fr-FR"/>
              </w:rPr>
            </w:pPr>
          </w:p>
        </w:tc>
      </w:tr>
      <w:tr w:rsidR="00EA0E69" w:rsidRPr="000D41AB" w:rsidTr="00F93AE1">
        <w:tc>
          <w:tcPr>
            <w:tcW w:w="440" w:type="dxa"/>
          </w:tcPr>
          <w:p w:rsidR="00A10617" w:rsidRPr="00797E49" w:rsidRDefault="00A10617" w:rsidP="00506A90">
            <w:pPr>
              <w:rPr>
                <w:lang w:val="fr-FR"/>
              </w:rPr>
            </w:pPr>
            <w:r w:rsidRPr="00797E49">
              <w:rPr>
                <w:lang w:val="fr-FR"/>
              </w:rPr>
              <w:t>13</w:t>
            </w:r>
          </w:p>
        </w:tc>
        <w:tc>
          <w:tcPr>
            <w:tcW w:w="2546" w:type="dxa"/>
          </w:tcPr>
          <w:p w:rsidR="00A10617" w:rsidRPr="00797E49" w:rsidRDefault="00CC171F" w:rsidP="00506A90">
            <w:pPr>
              <w:rPr>
                <w:lang w:val="fr-FR"/>
              </w:rPr>
            </w:pPr>
            <w:r w:rsidRPr="00797E49">
              <w:rPr>
                <w:lang w:val="fr-FR"/>
              </w:rPr>
              <w:t>La Commission européenne détermine les sanctions pour tous les États membres de l’UE</w:t>
            </w:r>
            <w:r w:rsidR="0095554A" w:rsidRPr="00797E49">
              <w:rPr>
                <w:lang w:val="fr-FR"/>
              </w:rPr>
              <w:t>.</w:t>
            </w:r>
          </w:p>
        </w:tc>
        <w:tc>
          <w:tcPr>
            <w:tcW w:w="992" w:type="dxa"/>
          </w:tcPr>
          <w:p w:rsidR="00A10617" w:rsidRPr="00797E49" w:rsidRDefault="00B55835" w:rsidP="00506A90">
            <w:pPr>
              <w:rPr>
                <w:lang w:val="fr-FR"/>
              </w:rPr>
            </w:pPr>
            <w:r w:rsidRPr="00797E49">
              <w:rPr>
                <w:lang w:val="fr-FR"/>
              </w:rPr>
              <w:t>Faux</w:t>
            </w:r>
          </w:p>
        </w:tc>
        <w:tc>
          <w:tcPr>
            <w:tcW w:w="5231" w:type="dxa"/>
          </w:tcPr>
          <w:p w:rsidR="00A10617" w:rsidRPr="00797E49" w:rsidRDefault="000D1C22" w:rsidP="000D1C22">
            <w:pPr>
              <w:rPr>
                <w:lang w:val="fr-FR"/>
              </w:rPr>
            </w:pPr>
            <w:r w:rsidRPr="00797E49">
              <w:rPr>
                <w:lang w:val="fr-FR"/>
              </w:rPr>
              <w:t>Le niveau des sanctions est défini par les États membres et peut différer d’un État membre à l’autre, mais le Règlement précise que les sanctions doivent être</w:t>
            </w:r>
            <w:r w:rsidR="00A10617" w:rsidRPr="00797E49">
              <w:rPr>
                <w:lang w:val="fr-FR"/>
              </w:rPr>
              <w:t xml:space="preserve"> </w:t>
            </w:r>
            <w:r w:rsidRPr="00797E49">
              <w:rPr>
                <w:lang w:val="fr-FR"/>
              </w:rPr>
              <w:t>« </w:t>
            </w:r>
            <w:r w:rsidR="00A10617" w:rsidRPr="00797E49">
              <w:rPr>
                <w:lang w:val="fr-FR"/>
              </w:rPr>
              <w:t>effective</w:t>
            </w:r>
            <w:r w:rsidRPr="00797E49">
              <w:rPr>
                <w:lang w:val="fr-FR"/>
              </w:rPr>
              <w:t>s</w:t>
            </w:r>
            <w:r w:rsidR="00A10617" w:rsidRPr="00797E49">
              <w:rPr>
                <w:lang w:val="fr-FR"/>
              </w:rPr>
              <w:t xml:space="preserve">, </w:t>
            </w:r>
            <w:r w:rsidRPr="00797E49">
              <w:rPr>
                <w:lang w:val="fr-FR"/>
              </w:rPr>
              <w:t>proportionnées et</w:t>
            </w:r>
            <w:r w:rsidR="00A10617" w:rsidRPr="00797E49">
              <w:rPr>
                <w:lang w:val="fr-FR"/>
              </w:rPr>
              <w:t xml:space="preserve"> dissuasive</w:t>
            </w:r>
            <w:r w:rsidRPr="00797E49">
              <w:rPr>
                <w:lang w:val="fr-FR"/>
              </w:rPr>
              <w:t>s »</w:t>
            </w:r>
            <w:r w:rsidR="00A10617" w:rsidRPr="00797E49">
              <w:rPr>
                <w:lang w:val="fr-FR"/>
              </w:rPr>
              <w:t>.</w:t>
            </w:r>
          </w:p>
        </w:tc>
      </w:tr>
    </w:tbl>
    <w:p w:rsidR="00DC5EFE" w:rsidRPr="00797E49" w:rsidRDefault="00DC5EFE" w:rsidP="00DC5EFE">
      <w:pPr>
        <w:rPr>
          <w:lang w:val="fr-FR"/>
        </w:rPr>
      </w:pPr>
    </w:p>
    <w:sectPr w:rsidR="00DC5EFE" w:rsidRPr="00797E49" w:rsidSect="00496F75">
      <w:headerReference w:type="default" r:id="rId10"/>
      <w:headerReference w:type="first" r:id="rId11"/>
      <w:pgSz w:w="11906" w:h="16838"/>
      <w:pgMar w:top="1985"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3EE" w:rsidRDefault="009A63EE" w:rsidP="00375F55">
      <w:pPr>
        <w:spacing w:after="0" w:line="240" w:lineRule="auto"/>
      </w:pPr>
      <w:r>
        <w:separator/>
      </w:r>
    </w:p>
  </w:endnote>
  <w:endnote w:type="continuationSeparator" w:id="0">
    <w:p w:rsidR="009A63EE" w:rsidRDefault="009A63EE" w:rsidP="00375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3EE" w:rsidRDefault="009A63EE" w:rsidP="00375F55">
      <w:pPr>
        <w:spacing w:after="0" w:line="240" w:lineRule="auto"/>
      </w:pPr>
      <w:r>
        <w:separator/>
      </w:r>
    </w:p>
  </w:footnote>
  <w:footnote w:type="continuationSeparator" w:id="0">
    <w:p w:rsidR="009A63EE" w:rsidRDefault="009A63EE" w:rsidP="00375F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55" w:rsidRDefault="00375F55">
    <w:pPr>
      <w:pStyle w:val="En-tte"/>
    </w:pPr>
    <w:r>
      <w:rPr>
        <w:noProof/>
        <w:lang w:val="de-DE" w:eastAsia="de-DE"/>
      </w:rPr>
      <w:drawing>
        <wp:inline distT="0" distB="0" distL="0" distR="0">
          <wp:extent cx="5730875" cy="118300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118300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55" w:rsidRDefault="00375F55">
    <w:pPr>
      <w:pStyle w:val="En-tte"/>
    </w:pPr>
    <w:r>
      <w:rPr>
        <w:noProof/>
        <w:lang w:val="de-DE" w:eastAsia="de-DE"/>
      </w:rPr>
      <w:drawing>
        <wp:inline distT="0" distB="0" distL="0" distR="0">
          <wp:extent cx="5730875" cy="164020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16402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F96D5F"/>
    <w:multiLevelType w:val="hybridMultilevel"/>
    <w:tmpl w:val="52C60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5261E9E"/>
    <w:multiLevelType w:val="hybridMultilevel"/>
    <w:tmpl w:val="86BE9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EFE"/>
    <w:rsid w:val="000025F6"/>
    <w:rsid w:val="000D1C22"/>
    <w:rsid w:val="000D41AB"/>
    <w:rsid w:val="00131938"/>
    <w:rsid w:val="00133AE5"/>
    <w:rsid w:val="001E49E4"/>
    <w:rsid w:val="00211932"/>
    <w:rsid w:val="00266A5D"/>
    <w:rsid w:val="002A5DFA"/>
    <w:rsid w:val="002E2DB9"/>
    <w:rsid w:val="003376AE"/>
    <w:rsid w:val="00375F55"/>
    <w:rsid w:val="00403913"/>
    <w:rsid w:val="00476519"/>
    <w:rsid w:val="00481AEF"/>
    <w:rsid w:val="00496F75"/>
    <w:rsid w:val="004C17C2"/>
    <w:rsid w:val="0068669D"/>
    <w:rsid w:val="006A3909"/>
    <w:rsid w:val="006B6F89"/>
    <w:rsid w:val="00773824"/>
    <w:rsid w:val="00797E49"/>
    <w:rsid w:val="007D04CA"/>
    <w:rsid w:val="00827618"/>
    <w:rsid w:val="00845A96"/>
    <w:rsid w:val="00922156"/>
    <w:rsid w:val="0095554A"/>
    <w:rsid w:val="009A63EE"/>
    <w:rsid w:val="00A10617"/>
    <w:rsid w:val="00A80E46"/>
    <w:rsid w:val="00B0789F"/>
    <w:rsid w:val="00B23330"/>
    <w:rsid w:val="00B55835"/>
    <w:rsid w:val="00B756A2"/>
    <w:rsid w:val="00B85F08"/>
    <w:rsid w:val="00C00EC1"/>
    <w:rsid w:val="00C473C6"/>
    <w:rsid w:val="00CC171F"/>
    <w:rsid w:val="00CC2C5B"/>
    <w:rsid w:val="00CF3747"/>
    <w:rsid w:val="00D82F02"/>
    <w:rsid w:val="00DC5EFE"/>
    <w:rsid w:val="00E1597B"/>
    <w:rsid w:val="00E46FAB"/>
    <w:rsid w:val="00EA0E69"/>
    <w:rsid w:val="00F31B22"/>
    <w:rsid w:val="00F65D0B"/>
    <w:rsid w:val="00F93AE1"/>
    <w:rsid w:val="00FC19A1"/>
    <w:rsid w:val="00FE68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D5E31BF-7F08-49B6-839A-86DD5B131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33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C5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375F55"/>
    <w:pPr>
      <w:tabs>
        <w:tab w:val="center" w:pos="4513"/>
        <w:tab w:val="right" w:pos="9026"/>
      </w:tabs>
      <w:spacing w:after="0" w:line="240" w:lineRule="auto"/>
    </w:pPr>
  </w:style>
  <w:style w:type="character" w:customStyle="1" w:styleId="En-tteCar">
    <w:name w:val="En-tête Car"/>
    <w:basedOn w:val="Policepardfaut"/>
    <w:link w:val="En-tte"/>
    <w:uiPriority w:val="99"/>
    <w:rsid w:val="00375F55"/>
  </w:style>
  <w:style w:type="paragraph" w:styleId="Pieddepage">
    <w:name w:val="footer"/>
    <w:basedOn w:val="Normal"/>
    <w:link w:val="PieddepageCar"/>
    <w:uiPriority w:val="99"/>
    <w:unhideWhenUsed/>
    <w:rsid w:val="00375F55"/>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375F55"/>
  </w:style>
  <w:style w:type="paragraph" w:styleId="Paragraphedeliste">
    <w:name w:val="List Paragraph"/>
    <w:basedOn w:val="Normal"/>
    <w:uiPriority w:val="34"/>
    <w:qFormat/>
    <w:rsid w:val="00A10617"/>
    <w:pPr>
      <w:ind w:left="720"/>
      <w:contextualSpacing/>
    </w:pPr>
  </w:style>
  <w:style w:type="paragraph" w:styleId="Textedebulles">
    <w:name w:val="Balloon Text"/>
    <w:basedOn w:val="Normal"/>
    <w:link w:val="TextedebullesCar"/>
    <w:uiPriority w:val="99"/>
    <w:semiHidden/>
    <w:unhideWhenUsed/>
    <w:rsid w:val="001E49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49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697565874F7A419035B3A2A5AA2B17" ma:contentTypeVersion="0" ma:contentTypeDescription="Create a new document." ma:contentTypeScope="" ma:versionID="8a5c323b4b73b751cf3c724d020497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6153DA-825E-4A11-9597-D7610EC41482}">
  <ds:schemaRef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190F2744-118F-4283-A79F-4038F4579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4CA719-50C4-440A-8F00-BEB8F7935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4088</Characters>
  <Application>Microsoft Office Word</Application>
  <DocSecurity>0</DocSecurity>
  <Lines>165</Lines>
  <Paragraphs>61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Doherty Associates</Company>
  <LinksUpToDate>false</LinksUpToDate>
  <CharactersWithSpaces>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Lam</dc:creator>
  <cp:lastModifiedBy>Thimson International</cp:lastModifiedBy>
  <cp:revision>3</cp:revision>
  <cp:lastPrinted>2014-11-12T11:36:00Z</cp:lastPrinted>
  <dcterms:created xsi:type="dcterms:W3CDTF">2014-11-12T11:36:00Z</dcterms:created>
  <dcterms:modified xsi:type="dcterms:W3CDTF">2014-11-12T11:36:00Z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0x010100B7697565874F7A419035B3A2A5AA2B17</vt:lpwstr>
  </property>
</Properties>
</file>